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02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Ind w:w="65" w:type="dxa"/>
        <w:tblLook w:val="04A0"/>
      </w:tblPr>
      <w:tblGrid>
        <w:gridCol w:w="3062"/>
        <w:gridCol w:w="2756"/>
        <w:gridCol w:w="2917"/>
      </w:tblGrid>
      <w:tr w:rsidR="00657A02" w:rsidRPr="004E3F62" w:rsidTr="00657A02">
        <w:trPr>
          <w:tblCellSpacing w:w="20" w:type="dxa"/>
        </w:trPr>
        <w:tc>
          <w:tcPr>
            <w:tcW w:w="8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4E3F6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b/>
                <w:sz w:val="24"/>
              </w:rPr>
              <w:t>FACTORES DE RIESGO DE TROMBOEMBOLISMO VENOSO, ADICIONALES, PARA LOS PACIENTES</w:t>
            </w:r>
          </w:p>
        </w:tc>
      </w:tr>
      <w:tr w:rsidR="00657A02" w:rsidRPr="004E3F62" w:rsidTr="00657A02">
        <w:trPr>
          <w:tblCellSpacing w:w="20" w:type="dxa"/>
        </w:trPr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</w:tcPr>
          <w:p w:rsidR="00657A02" w:rsidRPr="004E3F6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4E3F62">
              <w:rPr>
                <w:rFonts w:ascii="Arial Narrow" w:hAnsi="Arial Narrow" w:cs="Times New Roman"/>
                <w:b/>
                <w:sz w:val="24"/>
              </w:rPr>
              <w:t>PACIENTES CON ENFERMEDADES DE MANEJO MÉDICO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A02" w:rsidRPr="004E3F6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</w:rPr>
            </w:pPr>
          </w:p>
          <w:p w:rsidR="00657A02" w:rsidRPr="004E3F6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4E3F62">
              <w:rPr>
                <w:rFonts w:ascii="Arial Narrow" w:hAnsi="Arial Narrow" w:cs="Times New Roman"/>
                <w:b/>
                <w:sz w:val="24"/>
              </w:rPr>
              <w:t>PACIENTES QUIRÚRGICOS</w:t>
            </w:r>
          </w:p>
        </w:tc>
      </w:tr>
      <w:tr w:rsidR="00657A02" w:rsidRPr="004E3F62" w:rsidTr="00657A02">
        <w:trPr>
          <w:tblCellSpacing w:w="20" w:type="dxa"/>
        </w:trPr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 xml:space="preserve">Cáncer activo, </w:t>
            </w:r>
            <w:proofErr w:type="spellStart"/>
            <w:r w:rsidRPr="004E3F62">
              <w:rPr>
                <w:rFonts w:ascii="Arial Narrow" w:hAnsi="Arial Narrow" w:cs="Times New Roman"/>
                <w:sz w:val="24"/>
              </w:rPr>
              <w:t>sepsis</w:t>
            </w:r>
            <w:proofErr w:type="spellEnd"/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Previo episodio de TEV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Enfermedad Neurológica Aguda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Enfermedad Intestinal Inflamatoria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Embarazo y período posparto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Terapia de reemplazo hormonal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Anticonceptivos orales con estrógeno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 xml:space="preserve">Síndrome </w:t>
            </w:r>
            <w:proofErr w:type="spellStart"/>
            <w:r w:rsidRPr="004E3F62">
              <w:rPr>
                <w:rFonts w:ascii="Arial Narrow" w:hAnsi="Arial Narrow" w:cs="Times New Roman"/>
                <w:sz w:val="24"/>
              </w:rPr>
              <w:t>Nefrótico</w:t>
            </w:r>
            <w:proofErr w:type="spellEnd"/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Trombofilia heredada o adquirida</w:t>
            </w:r>
          </w:p>
          <w:p w:rsidR="00657A0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Hemoglobinuria paroxística nocturna</w:t>
            </w:r>
          </w:p>
          <w:p w:rsidR="00657A02" w:rsidRPr="004E3F62" w:rsidRDefault="00657A02" w:rsidP="00D404A6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</w:rPr>
            </w:pP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Edad avanzada</w:t>
            </w:r>
            <w:r>
              <w:rPr>
                <w:rFonts w:ascii="Arial Narrow" w:hAnsi="Arial Narrow" w:cs="Times New Roman"/>
                <w:sz w:val="24"/>
              </w:rPr>
              <w:t xml:space="preserve"> (&gt; 60 años)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Obesidad mórbida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Venas Varicosas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Malignidad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Uso de catéter femoral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Quemadura extensa de Miembros Inferiores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Trauma concomitante de Miembros Inferiores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Inmovilidad prolongada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</w:rPr>
            </w:pP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Presencia de déficit neurológico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 xml:space="preserve">Previo episodio de TEV (trombosis venosa profunda o </w:t>
            </w:r>
            <w:proofErr w:type="spellStart"/>
            <w:r w:rsidRPr="004E3F62">
              <w:rPr>
                <w:rFonts w:ascii="Arial Narrow" w:hAnsi="Arial Narrow" w:cs="Times New Roman"/>
                <w:sz w:val="24"/>
              </w:rPr>
              <w:t>tromboembolismo</w:t>
            </w:r>
            <w:proofErr w:type="spellEnd"/>
            <w:r w:rsidRPr="004E3F62">
              <w:rPr>
                <w:rFonts w:ascii="Arial Narrow" w:hAnsi="Arial Narrow" w:cs="Times New Roman"/>
                <w:sz w:val="24"/>
              </w:rPr>
              <w:t xml:space="preserve"> pulmonar)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Acceso quirúrgico anterior para columna vertebral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Compresión venosa por tumores, hematomas o anormalidad arterial</w:t>
            </w:r>
          </w:p>
          <w:p w:rsidR="00657A02" w:rsidRPr="004E3F62" w:rsidRDefault="00657A02" w:rsidP="00657A02">
            <w:pPr>
              <w:spacing w:after="0" w:line="240" w:lineRule="auto"/>
              <w:rPr>
                <w:rFonts w:ascii="Arial Narrow" w:hAnsi="Arial Narrow" w:cs="Times New Roman"/>
                <w:sz w:val="24"/>
              </w:rPr>
            </w:pPr>
            <w:r w:rsidRPr="004E3F62">
              <w:rPr>
                <w:rFonts w:ascii="Arial Narrow" w:hAnsi="Arial Narrow" w:cs="Times New Roman"/>
                <w:sz w:val="24"/>
              </w:rPr>
              <w:t>Terapia para cáncer sea quimioterapia o radioterapia</w:t>
            </w:r>
          </w:p>
        </w:tc>
      </w:tr>
    </w:tbl>
    <w:p w:rsidR="00657A02" w:rsidRDefault="00657A02" w:rsidP="00657A02">
      <w:pPr>
        <w:spacing w:line="240" w:lineRule="auto"/>
        <w:ind w:left="720"/>
        <w:contextualSpacing/>
        <w:jc w:val="both"/>
        <w:rPr>
          <w:rFonts w:ascii="Arial Narrow" w:hAnsi="Arial Narrow" w:cs="Times New Roman"/>
          <w:b/>
          <w:sz w:val="24"/>
        </w:rPr>
      </w:pPr>
    </w:p>
    <w:p w:rsidR="00657A02" w:rsidRDefault="00657A02" w:rsidP="00657A02">
      <w:pPr>
        <w:spacing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Cuadro </w:t>
      </w:r>
      <w:r w:rsidRPr="009A3CD4">
        <w:rPr>
          <w:rFonts w:ascii="Arial" w:hAnsi="Arial" w:cs="Arial"/>
          <w:b/>
          <w:sz w:val="24"/>
        </w:rPr>
        <w:t xml:space="preserve">1. </w:t>
      </w:r>
      <w:r w:rsidRPr="009A3CD4">
        <w:rPr>
          <w:rFonts w:ascii="Arial" w:hAnsi="Arial" w:cs="Arial"/>
          <w:sz w:val="24"/>
        </w:rPr>
        <w:t xml:space="preserve">Factores considerados de riesgo de </w:t>
      </w:r>
      <w:proofErr w:type="spellStart"/>
      <w:r w:rsidRPr="009A3CD4">
        <w:rPr>
          <w:rFonts w:ascii="Arial" w:hAnsi="Arial" w:cs="Arial"/>
          <w:sz w:val="24"/>
        </w:rPr>
        <w:t>tromboembolismo</w:t>
      </w:r>
      <w:proofErr w:type="spellEnd"/>
      <w:r w:rsidRPr="009A3CD4">
        <w:rPr>
          <w:rFonts w:ascii="Arial" w:hAnsi="Arial" w:cs="Arial"/>
          <w:sz w:val="24"/>
        </w:rPr>
        <w:t xml:space="preserve"> venoso y que deben ser considerados como factores adicionales al tomar la decisión de si realizar tromboprofilaxis o no o al clasificar a los pacientes en un nivel de riesgo definido. Se aplican tanto a pacientes médicos como quirúrgicos.</w:t>
      </w:r>
    </w:p>
    <w:p w:rsidR="0086749C" w:rsidRDefault="0086749C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Ind w:w="6" w:type="dxa"/>
        <w:tblLook w:val="04A0"/>
      </w:tblPr>
      <w:tblGrid>
        <w:gridCol w:w="2530"/>
        <w:gridCol w:w="537"/>
        <w:gridCol w:w="725"/>
        <w:gridCol w:w="537"/>
        <w:gridCol w:w="725"/>
        <w:gridCol w:w="547"/>
        <w:gridCol w:w="740"/>
        <w:gridCol w:w="514"/>
        <w:gridCol w:w="694"/>
        <w:gridCol w:w="585"/>
        <w:gridCol w:w="660"/>
      </w:tblGrid>
      <w:tr w:rsidR="00657A02" w:rsidRPr="00FE6AE8" w:rsidTr="00657A02">
        <w:trPr>
          <w:tblCellSpacing w:w="20" w:type="dxa"/>
        </w:trPr>
        <w:tc>
          <w:tcPr>
            <w:tcW w:w="24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7.75pt;margin-top:.9pt;width:126.3pt;height:41.65pt;z-index:251660288" o:connectortype="straight"/>
              </w:pic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</w:t>
            </w:r>
            <w:r w:rsidRPr="00103921">
              <w:rPr>
                <w:rFonts w:ascii="Arial Narrow" w:hAnsi="Arial Narrow" w:cs="Arial"/>
                <w:b/>
                <w:sz w:val="24"/>
                <w:szCs w:val="24"/>
              </w:rPr>
              <w:t>GRUPO ET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03921">
              <w:rPr>
                <w:rFonts w:ascii="Arial Narrow" w:hAnsi="Arial Narrow" w:cs="Arial"/>
                <w:b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 w:rsidRPr="00103921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657A02" w:rsidRDefault="00657A02" w:rsidP="00D404A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7A02" w:rsidRPr="00103921" w:rsidRDefault="00657A02" w:rsidP="00D404A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E6AE8">
              <w:rPr>
                <w:rFonts w:ascii="Arial" w:hAnsi="Arial" w:cs="Arial"/>
                <w:b/>
                <w:sz w:val="24"/>
                <w:szCs w:val="24"/>
              </w:rPr>
              <w:t>SERVICIO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6AE8">
              <w:rPr>
                <w:rFonts w:ascii="Arial" w:hAnsi="Arial" w:cs="Arial"/>
                <w:b/>
                <w:sz w:val="24"/>
                <w:szCs w:val="24"/>
              </w:rPr>
              <w:t>18-29 años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6AE8">
              <w:rPr>
                <w:rFonts w:ascii="Arial" w:hAnsi="Arial" w:cs="Arial"/>
                <w:b/>
                <w:sz w:val="24"/>
                <w:szCs w:val="24"/>
              </w:rPr>
              <w:t>30-49 años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FE6AE8" w:rsidRDefault="00657A02" w:rsidP="00657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50- 65 </w:t>
            </w:r>
            <w:r w:rsidRPr="00FE6AE8">
              <w:rPr>
                <w:rFonts w:ascii="Arial" w:hAnsi="Arial" w:cs="Arial"/>
                <w:b/>
                <w:sz w:val="24"/>
                <w:szCs w:val="24"/>
              </w:rPr>
              <w:t>años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6AE8">
              <w:rPr>
                <w:rFonts w:ascii="Arial" w:hAnsi="Arial" w:cs="Arial"/>
                <w:b/>
                <w:sz w:val="24"/>
                <w:szCs w:val="24"/>
              </w:rPr>
              <w:t>&gt; 65 años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7A02" w:rsidRPr="00FE6AE8" w:rsidRDefault="00657A02" w:rsidP="00657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7A02" w:rsidRPr="00FE6AE8" w:rsidTr="00657A02">
        <w:trPr>
          <w:tblCellSpacing w:w="20" w:type="dxa"/>
        </w:trPr>
        <w:tc>
          <w:tcPr>
            <w:tcW w:w="2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57A02" w:rsidRPr="00103921" w:rsidRDefault="00657A02" w:rsidP="00D40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57A02" w:rsidRPr="00FE6AE8" w:rsidTr="00657A02">
        <w:trPr>
          <w:tblCellSpacing w:w="20" w:type="dxa"/>
        </w:trPr>
        <w:tc>
          <w:tcPr>
            <w:tcW w:w="2471" w:type="dxa"/>
            <w:shd w:val="clear" w:color="auto" w:fill="auto"/>
          </w:tcPr>
          <w:p w:rsidR="00657A02" w:rsidRPr="00103921" w:rsidRDefault="00657A02" w:rsidP="00657A02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103921">
              <w:rPr>
                <w:rFonts w:ascii="Arial Narrow" w:hAnsi="Arial Narrow" w:cs="Arial"/>
                <w:szCs w:val="24"/>
              </w:rPr>
              <w:t>QUIRÚRGICAS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22,5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14,1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32,4</w:t>
            </w:r>
          </w:p>
        </w:tc>
        <w:tc>
          <w:tcPr>
            <w:tcW w:w="0" w:type="auto"/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34</w:t>
            </w:r>
          </w:p>
        </w:tc>
      </w:tr>
      <w:tr w:rsidR="00657A02" w:rsidRPr="00FE6AE8" w:rsidTr="00657A02">
        <w:trPr>
          <w:tblCellSpacing w:w="20" w:type="dxa"/>
        </w:trPr>
        <w:tc>
          <w:tcPr>
            <w:tcW w:w="2471" w:type="dxa"/>
            <w:shd w:val="clear" w:color="auto" w:fill="auto"/>
          </w:tcPr>
          <w:p w:rsidR="00657A02" w:rsidRPr="00103921" w:rsidRDefault="00657A02" w:rsidP="00657A02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103921">
              <w:rPr>
                <w:rFonts w:ascii="Arial Narrow" w:hAnsi="Arial Narrow" w:cs="Arial"/>
                <w:szCs w:val="24"/>
              </w:rPr>
              <w:t>MEDICINA INTERNA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7,6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30.3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25,8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36,4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31,1</w:t>
            </w:r>
          </w:p>
        </w:tc>
      </w:tr>
      <w:tr w:rsidR="00657A02" w:rsidRPr="00FE6AE8" w:rsidTr="00657A02">
        <w:trPr>
          <w:tblCellSpacing w:w="20" w:type="dxa"/>
        </w:trPr>
        <w:tc>
          <w:tcPr>
            <w:tcW w:w="2471" w:type="dxa"/>
            <w:shd w:val="clear" w:color="auto" w:fill="auto"/>
          </w:tcPr>
          <w:p w:rsidR="00657A02" w:rsidRPr="00103921" w:rsidRDefault="00657A02" w:rsidP="00657A02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103921">
              <w:rPr>
                <w:rFonts w:ascii="Arial Narrow" w:hAnsi="Arial Narrow" w:cs="Arial"/>
                <w:szCs w:val="24"/>
              </w:rPr>
              <w:t>GINECO-</w:t>
            </w:r>
            <w:r>
              <w:rPr>
                <w:rFonts w:ascii="Arial Narrow" w:hAnsi="Arial Narrow" w:cs="Arial"/>
                <w:szCs w:val="24"/>
              </w:rPr>
              <w:t>O</w:t>
            </w:r>
            <w:r w:rsidRPr="00103921">
              <w:rPr>
                <w:rFonts w:ascii="Arial Narrow" w:hAnsi="Arial Narrow" w:cs="Arial"/>
                <w:szCs w:val="24"/>
              </w:rPr>
              <w:t>BSTETRICIA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61,6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28.8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5,5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657A02" w:rsidRPr="00FE6AE8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34,8</w:t>
            </w:r>
          </w:p>
        </w:tc>
      </w:tr>
      <w:tr w:rsidR="00657A02" w:rsidRPr="00FE6AE8" w:rsidTr="00657A02">
        <w:trPr>
          <w:tblCellSpacing w:w="20" w:type="dxa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Pr="00116DB5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116DB5">
              <w:rPr>
                <w:rFonts w:ascii="Arial Narrow" w:hAnsi="Arial Narrow" w:cs="Arial"/>
                <w:b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23,8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A02" w:rsidRDefault="00657A02" w:rsidP="00D404A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</w:tr>
    </w:tbl>
    <w:p w:rsidR="00657A02" w:rsidRDefault="00657A02" w:rsidP="00657A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A02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Cuadro </w:t>
      </w:r>
      <w:r w:rsidRPr="00B1047D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Distribución etaria de una muestra de pacientes hospitalizados en los servicios de Quirúrgicas, Medicina Interna y Ginecología y Obstetricia del Hospital Universitario San Jorge de Pereira, 2009-2010.</w:t>
      </w: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7A02" w:rsidRDefault="00657A02" w:rsidP="00657A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3561715" cy="2583815"/>
            <wp:effectExtent l="1905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A02" w:rsidRDefault="00657A02" w:rsidP="00657A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A02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47D">
        <w:rPr>
          <w:rFonts w:ascii="Arial" w:hAnsi="Arial" w:cs="Arial"/>
          <w:b/>
          <w:sz w:val="24"/>
          <w:szCs w:val="24"/>
        </w:rPr>
        <w:t>Figura 1</w:t>
      </w:r>
      <w:r w:rsidRPr="00B1047D">
        <w:rPr>
          <w:rFonts w:ascii="Arial" w:hAnsi="Arial" w:cs="Arial"/>
          <w:sz w:val="24"/>
          <w:szCs w:val="24"/>
        </w:rPr>
        <w:t>. Histograma que muestra la distribución et</w:t>
      </w:r>
      <w:r>
        <w:rPr>
          <w:rFonts w:ascii="Arial" w:hAnsi="Arial" w:cs="Arial"/>
          <w:sz w:val="24"/>
          <w:szCs w:val="24"/>
        </w:rPr>
        <w:t>aria</w:t>
      </w:r>
      <w:r w:rsidRPr="00B1047D">
        <w:rPr>
          <w:rFonts w:ascii="Arial" w:hAnsi="Arial" w:cs="Arial"/>
          <w:sz w:val="24"/>
          <w:szCs w:val="24"/>
        </w:rPr>
        <w:t xml:space="preserve"> de una muestra de pacientes hospitalizados en los servicios de quirúrgicas</w:t>
      </w:r>
      <w:r>
        <w:rPr>
          <w:rFonts w:ascii="Arial" w:hAnsi="Arial" w:cs="Arial"/>
          <w:sz w:val="24"/>
          <w:szCs w:val="24"/>
        </w:rPr>
        <w:t>, medicina interna y Ginecología y Obstetricia del Hospital Universitario San Jorge de Pereira, 2009-2010.</w:t>
      </w:r>
    </w:p>
    <w:p w:rsidR="00657A02" w:rsidRDefault="00657A02" w:rsidP="00657A02">
      <w:pPr>
        <w:spacing w:after="0" w:line="240" w:lineRule="auto"/>
      </w:pPr>
    </w:p>
    <w:p w:rsidR="00657A02" w:rsidRDefault="00657A02" w:rsidP="00657A02">
      <w:pPr>
        <w:spacing w:after="0" w:line="240" w:lineRule="auto"/>
      </w:pPr>
    </w:p>
    <w:p w:rsidR="00657A02" w:rsidRDefault="00B174C9" w:rsidP="00657A02">
      <w:pPr>
        <w:spacing w:after="0" w:line="240" w:lineRule="auto"/>
        <w:jc w:val="center"/>
      </w:pPr>
      <w:r>
        <w:rPr>
          <w:noProof/>
          <w:lang w:val="es-ES" w:eastAsia="es-ES"/>
        </w:rPr>
        <w:pict>
          <v:group id="_x0000_s1048" style="position:absolute;left:0;text-align:left;margin-left:172.7pt;margin-top:4.6pt;width:82.25pt;height:223.35pt;z-index:251670528" coordorigin="5155,7771" coordsize="1645,44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5211;top:11833;width:394;height:405;mso-width-relative:margin;mso-height-relative:margin" filled="f" stroked="f">
              <v:textbox style="mso-next-textbox:#_x0000_s1040">
                <w:txbxContent>
                  <w:p w:rsidR="00040E84" w:rsidRDefault="00040E8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1" type="#_x0000_t202" style="position:absolute;left:5211;top:8998;width:394;height:405;mso-width-relative:margin;mso-height-relative:margin" filled="f" stroked="f">
              <v:textbox style="mso-next-textbox:#_x0000_s1041">
                <w:txbxContent>
                  <w:p w:rsidR="00040E84" w:rsidRDefault="00040E84" w:rsidP="00040E8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2" type="#_x0000_t202" style="position:absolute;left:6406;top:8777;width:394;height:405;mso-width-relative:margin;mso-height-relative:margin" filled="f" stroked="f">
              <v:textbox style="mso-next-textbox:#_x0000_s1042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3" type="#_x0000_t202" style="position:absolute;left:5211;top:10630;width:394;height:405;mso-width-relative:margin;mso-height-relative:margin" filled="f" stroked="f">
              <v:textbox style="mso-next-textbox:#_x0000_s1043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4" type="#_x0000_t202" style="position:absolute;left:6405;top:11833;width:394;height:405;mso-width-relative:margin;mso-height-relative:margin" filled="f" stroked="f">
              <v:textbox style="mso-next-textbox:#_x0000_s1044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5" type="#_x0000_t202" style="position:absolute;left:6349;top:8274;width:394;height:405;mso-width-relative:margin;mso-height-relative:margin" filled="f" stroked="f">
              <v:textbox style="mso-next-textbox:#_x0000_s1045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6" type="#_x0000_t202" style="position:absolute;left:5155;top:7771;width:394;height:405;mso-width-relative:margin;mso-height-relative:margin" filled="f" stroked="f">
              <v:textbox style="mso-next-textbox:#_x0000_s1046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  <v:shape id="_x0000_s1047" type="#_x0000_t202" style="position:absolute;left:6349;top:7841;width:394;height:405;mso-width-relative:margin;mso-height-relative:margin" filled="f" stroked="f">
              <v:textbox style="mso-next-textbox:#_x0000_s1047">
                <w:txbxContent>
                  <w:p w:rsidR="00B174C9" w:rsidRDefault="00B174C9" w:rsidP="00B174C9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,</w:t>
                    </w:r>
                  </w:p>
                </w:txbxContent>
              </v:textbox>
            </v:shape>
          </v:group>
        </w:pict>
      </w:r>
      <w:r w:rsidR="00657A02">
        <w:object w:dxaOrig="7597" w:dyaOrig="6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1pt;height:285.15pt" o:ole="">
            <v:imagedata r:id="rId6" o:title=""/>
          </v:shape>
          <o:OLEObject Type="Embed" ProgID="Prism5.Document" ShapeID="_x0000_i1025" DrawAspect="Content" ObjectID="_1404076055" r:id="rId7"/>
        </w:object>
      </w:r>
    </w:p>
    <w:p w:rsidR="00657A02" w:rsidRDefault="00657A02" w:rsidP="00657A02">
      <w:pPr>
        <w:spacing w:after="0" w:line="240" w:lineRule="auto"/>
        <w:jc w:val="center"/>
      </w:pPr>
    </w:p>
    <w:p w:rsidR="00657A02" w:rsidRDefault="00657A02" w:rsidP="00657A02">
      <w:pPr>
        <w:spacing w:after="0" w:line="240" w:lineRule="auto"/>
        <w:jc w:val="center"/>
        <w:rPr>
          <w:rFonts w:ascii="Arial Narrow" w:hAnsi="Arial Narrow" w:cs="Arial"/>
          <w:sz w:val="24"/>
        </w:rPr>
      </w:pPr>
      <w:r w:rsidRPr="001E34D1">
        <w:rPr>
          <w:rFonts w:ascii="Arial Narrow" w:hAnsi="Arial Narrow" w:cs="Arial"/>
          <w:sz w:val="24"/>
        </w:rPr>
        <w:t>QX=Servicio de Quirúrgicas, MI= Servicio de Medicina Interna, GO=Servicio de Ginecología y Obstetricia</w:t>
      </w:r>
    </w:p>
    <w:p w:rsidR="00657A02" w:rsidRDefault="00657A02" w:rsidP="00657A02">
      <w:pPr>
        <w:spacing w:after="0" w:line="240" w:lineRule="auto"/>
        <w:jc w:val="center"/>
        <w:rPr>
          <w:rFonts w:ascii="Arial Narrow" w:hAnsi="Arial Narrow" w:cs="Arial"/>
          <w:sz w:val="24"/>
        </w:rPr>
      </w:pPr>
    </w:p>
    <w:p w:rsidR="00657A02" w:rsidRPr="00B1047D" w:rsidRDefault="00657A02" w:rsidP="00657A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47D">
        <w:rPr>
          <w:rFonts w:ascii="Arial" w:hAnsi="Arial" w:cs="Arial"/>
          <w:b/>
          <w:sz w:val="24"/>
          <w:szCs w:val="24"/>
        </w:rPr>
        <w:t>Figura</w:t>
      </w:r>
      <w:r w:rsidRPr="00B1047D">
        <w:rPr>
          <w:rFonts w:ascii="Arial" w:hAnsi="Arial" w:cs="Arial"/>
          <w:sz w:val="24"/>
          <w:szCs w:val="24"/>
        </w:rPr>
        <w:t xml:space="preserve"> </w:t>
      </w:r>
      <w:r w:rsidRPr="0056056A">
        <w:rPr>
          <w:rFonts w:ascii="Arial" w:hAnsi="Arial" w:cs="Arial"/>
          <w:b/>
          <w:sz w:val="24"/>
          <w:szCs w:val="24"/>
        </w:rPr>
        <w:t>2</w:t>
      </w:r>
      <w:r w:rsidRPr="00B1047D">
        <w:rPr>
          <w:rFonts w:ascii="Arial" w:hAnsi="Arial" w:cs="Arial"/>
          <w:sz w:val="24"/>
          <w:szCs w:val="24"/>
        </w:rPr>
        <w:t>. Distribución por nivel de riesgo de TEV según servicio de hospitalización en una muestra de 210 pacientes del Hospital Universitario San Jorge de Pereira, 2009-2010.</w:t>
      </w:r>
    </w:p>
    <w:p w:rsidR="00657A02" w:rsidRPr="00040E84" w:rsidRDefault="00657A02" w:rsidP="00040E8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57A02">
        <w:rPr>
          <w:rFonts w:ascii="Arial" w:hAnsi="Arial" w:cs="Arial"/>
          <w:bCs/>
          <w:color w:val="FF0000"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7A02" w:rsidRPr="00040E84" w:rsidRDefault="00657A02" w:rsidP="00657A02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p w:rsidR="00657A02" w:rsidRPr="00023B1F" w:rsidRDefault="00657A02" w:rsidP="00040E8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1047D">
        <w:rPr>
          <w:rFonts w:ascii="Arial" w:hAnsi="Arial" w:cs="Arial"/>
          <w:b/>
          <w:bCs/>
          <w:sz w:val="24"/>
          <w:szCs w:val="24"/>
        </w:rPr>
        <w:t xml:space="preserve">Figura 3. </w:t>
      </w:r>
      <w:r w:rsidRPr="00B1047D">
        <w:rPr>
          <w:rFonts w:ascii="Arial" w:hAnsi="Arial" w:cs="Arial"/>
          <w:bCs/>
          <w:sz w:val="24"/>
          <w:szCs w:val="24"/>
        </w:rPr>
        <w:t xml:space="preserve">Profilaxis farmacológica para el </w:t>
      </w:r>
      <w:proofErr w:type="spellStart"/>
      <w:r w:rsidRPr="00B1047D">
        <w:rPr>
          <w:rFonts w:ascii="Arial" w:hAnsi="Arial" w:cs="Arial"/>
          <w:bCs/>
          <w:sz w:val="24"/>
          <w:szCs w:val="24"/>
        </w:rPr>
        <w:t>tromboembolismo</w:t>
      </w:r>
      <w:proofErr w:type="spellEnd"/>
      <w:r w:rsidRPr="00B1047D">
        <w:rPr>
          <w:rFonts w:ascii="Arial" w:hAnsi="Arial" w:cs="Arial"/>
          <w:bCs/>
          <w:sz w:val="24"/>
          <w:szCs w:val="24"/>
        </w:rPr>
        <w:t xml:space="preserve"> venoso en una muestra de pacientes</w:t>
      </w:r>
      <w:r>
        <w:rPr>
          <w:rFonts w:ascii="Arial" w:hAnsi="Arial" w:cs="Arial"/>
          <w:bCs/>
          <w:sz w:val="24"/>
          <w:szCs w:val="24"/>
        </w:rPr>
        <w:t xml:space="preserve"> hospitalizados en el HUSJ de Pereira, 2009</w:t>
      </w:r>
    </w:p>
    <w:sectPr w:rsidR="00657A02" w:rsidRPr="00023B1F" w:rsidSect="00867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E2C3F"/>
    <w:multiLevelType w:val="multilevel"/>
    <w:tmpl w:val="480C77D8"/>
    <w:lvl w:ilvl="0">
      <w:start w:val="50"/>
      <w:numFmt w:val="decimal"/>
      <w:lvlText w:val="%1"/>
      <w:lvlJc w:val="left"/>
      <w:pPr>
        <w:ind w:left="615" w:hanging="615"/>
      </w:pPr>
      <w:rPr>
        <w:rFonts w:cs="Times New Roman" w:hint="default"/>
      </w:rPr>
    </w:lvl>
    <w:lvl w:ilvl="1">
      <w:start w:val="65"/>
      <w:numFmt w:val="decimal"/>
      <w:lvlText w:val="%1-%2"/>
      <w:lvlJc w:val="left"/>
      <w:pPr>
        <w:ind w:left="615" w:hanging="6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57A02"/>
    <w:rsid w:val="00040E84"/>
    <w:rsid w:val="004F12D2"/>
    <w:rsid w:val="00657A02"/>
    <w:rsid w:val="0086749C"/>
    <w:rsid w:val="00B1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02"/>
    <w:rPr>
      <w:rFonts w:ascii="Calibri" w:eastAsia="Times New Roman" w:hAnsi="Calibri" w:cs="Calibri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A02"/>
    <w:rPr>
      <w:rFonts w:ascii="Tahoma" w:eastAsia="Times New Roman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7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Hoja1!$B$1</c:f>
              <c:strCache>
                <c:ptCount val="1"/>
                <c:pt idx="0">
                  <c:v>SI TROMBOPROFILAXIS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RIESGO BAJO</c:v>
                </c:pt>
                <c:pt idx="1">
                  <c:v>RIESGO MODERADO</c:v>
                </c:pt>
                <c:pt idx="2">
                  <c:v>RIESGO ALTO</c:v>
                </c:pt>
                <c:pt idx="3">
                  <c:v>RIESGO MUY ALTO</c:v>
                </c:pt>
              </c:strCache>
            </c:strRef>
          </c:cat>
          <c:val>
            <c:numRef>
              <c:f>Hoja1!$B$2:$B$5</c:f>
              <c:numCache>
                <c:formatCode>0.0%</c:formatCode>
                <c:ptCount val="4"/>
                <c:pt idx="0">
                  <c:v>0.28000000000000008</c:v>
                </c:pt>
                <c:pt idx="1">
                  <c:v>0.4880000000000001</c:v>
                </c:pt>
                <c:pt idx="2">
                  <c:v>0.6080000000000001</c:v>
                </c:pt>
                <c:pt idx="3">
                  <c:v>0.15800000000000003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TROMBOPROFILAXIS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RIESGO BAJO</c:v>
                </c:pt>
                <c:pt idx="1">
                  <c:v>RIESGO MODERADO</c:v>
                </c:pt>
                <c:pt idx="2">
                  <c:v>RIESGO ALTO</c:v>
                </c:pt>
                <c:pt idx="3">
                  <c:v>RIESGO MUY ALTO</c:v>
                </c:pt>
              </c:strCache>
            </c:strRef>
          </c:cat>
          <c:val>
            <c:numRef>
              <c:f>Hoja1!$C$2:$C$5</c:f>
              <c:numCache>
                <c:formatCode>0.0%</c:formatCode>
                <c:ptCount val="4"/>
                <c:pt idx="0">
                  <c:v>0.72000000000000008</c:v>
                </c:pt>
                <c:pt idx="1">
                  <c:v>0.51200000000000001</c:v>
                </c:pt>
                <c:pt idx="2">
                  <c:v>0.39200000000000007</c:v>
                </c:pt>
                <c:pt idx="3">
                  <c:v>0.84200000000000008</c:v>
                </c:pt>
              </c:numCache>
            </c:numRef>
          </c:val>
        </c:ser>
        <c:dLbls>
          <c:showVal val="1"/>
        </c:dLbls>
        <c:gapWidth val="75"/>
        <c:overlap val="100"/>
        <c:axId val="59509760"/>
        <c:axId val="59628160"/>
      </c:barChart>
      <c:catAx>
        <c:axId val="59509760"/>
        <c:scaling>
          <c:orientation val="minMax"/>
        </c:scaling>
        <c:axPos val="b"/>
        <c:majorTickMark val="none"/>
        <c:tickLblPos val="nextTo"/>
        <c:crossAx val="59628160"/>
        <c:crosses val="autoZero"/>
        <c:auto val="1"/>
        <c:lblAlgn val="ctr"/>
        <c:lblOffset val="100"/>
      </c:catAx>
      <c:valAx>
        <c:axId val="59628160"/>
        <c:scaling>
          <c:orientation val="minMax"/>
        </c:scaling>
        <c:axPos val="l"/>
        <c:numFmt formatCode="0%" sourceLinked="1"/>
        <c:majorTickMark val="none"/>
        <c:tickLblPos val="nextTo"/>
        <c:crossAx val="59509760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Andrés</dc:creator>
  <cp:lastModifiedBy>Jaime Andrés</cp:lastModifiedBy>
  <cp:revision>1</cp:revision>
  <dcterms:created xsi:type="dcterms:W3CDTF">2012-07-18T04:52:00Z</dcterms:created>
  <dcterms:modified xsi:type="dcterms:W3CDTF">2012-07-18T05:21:00Z</dcterms:modified>
</cp:coreProperties>
</file>